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C8" w:rsidRDefault="00C972DA" w:rsidP="00C972D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ВИЛЬНЮС-ТРАКАЙ</w:t>
      </w:r>
    </w:p>
    <w:p w:rsidR="00C972DA" w:rsidRPr="00C972DA" w:rsidRDefault="00C972DA" w:rsidP="00C972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972DA">
        <w:rPr>
          <w:rFonts w:ascii="Arial" w:eastAsia="Times New Roman" w:hAnsi="Arial" w:cs="Arial"/>
          <w:b/>
          <w:sz w:val="20"/>
          <w:szCs w:val="20"/>
          <w:lang w:eastAsia="ru-RU"/>
        </w:rPr>
        <w:t>С ПР</w:t>
      </w:r>
      <w:r w:rsidR="00707784">
        <w:rPr>
          <w:rFonts w:ascii="Arial" w:eastAsia="Times New Roman" w:hAnsi="Arial" w:cs="Arial"/>
          <w:b/>
          <w:sz w:val="20"/>
          <w:szCs w:val="20"/>
          <w:lang w:eastAsia="ru-RU"/>
        </w:rPr>
        <w:t>О</w:t>
      </w:r>
      <w:r w:rsidRPr="00C972DA">
        <w:rPr>
          <w:rFonts w:ascii="Arial" w:eastAsia="Times New Roman" w:hAnsi="Arial" w:cs="Arial"/>
          <w:b/>
          <w:sz w:val="20"/>
          <w:szCs w:val="20"/>
          <w:lang w:eastAsia="ru-RU"/>
        </w:rPr>
        <w:t>ЖИВАНИЕМ В ВИЛЮНЮСЕ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8335E4" w:rsidRPr="008335E4" w:rsidTr="009B1313">
        <w:tc>
          <w:tcPr>
            <w:tcW w:w="10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EA26E0" w:rsidRDefault="008335E4" w:rsidP="004A20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972DA" w:rsidRPr="00CA6593" w:rsidRDefault="00C972DA" w:rsidP="009B1313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000000"/>
          <w:sz w:val="6"/>
          <w:szCs w:val="6"/>
          <w:lang w:eastAsia="ru-RU"/>
        </w:rPr>
      </w:pPr>
    </w:p>
    <w:p w:rsidR="009B1313" w:rsidRPr="009B1313" w:rsidRDefault="00C972DA" w:rsidP="009B1313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Выезды в 20</w:t>
      </w:r>
      <w:r w:rsidR="00CA6593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20</w:t>
      </w: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 xml:space="preserve">г: </w:t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0</w:t>
      </w:r>
      <w:r w:rsidR="00CA659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5</w:t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.0</w:t>
      </w:r>
      <w:r w:rsidR="00CA659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1</w:t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, 18.0</w:t>
      </w:r>
      <w:r w:rsidR="00CA659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1</w:t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, 0</w:t>
      </w:r>
      <w:r w:rsidR="00CA659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8</w:t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.0</w:t>
      </w:r>
      <w:r w:rsidR="00CA659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2</w:t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 xml:space="preserve">, </w:t>
      </w:r>
      <w:r w:rsidR="00CA659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22</w:t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.0</w:t>
      </w:r>
      <w:r w:rsidR="00CA659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2</w:t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 xml:space="preserve">, </w:t>
      </w:r>
      <w:r w:rsidR="00CA659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07</w:t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.0</w:t>
      </w:r>
      <w:r w:rsidR="00CA659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3</w:t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 xml:space="preserve">, </w:t>
      </w:r>
      <w:r w:rsidR="00CA659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21</w:t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.</w:t>
      </w:r>
      <w:r w:rsidR="00CA659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03</w:t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 xml:space="preserve">, </w:t>
      </w:r>
      <w:r w:rsidR="00CA659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04</w:t>
      </w:r>
      <w:r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.</w:t>
      </w:r>
      <w:r w:rsidR="00CA6593">
        <w:rPr>
          <w:rFonts w:ascii="Arial" w:eastAsia="Times New Roman" w:hAnsi="Arial" w:cs="Arial"/>
          <w:b/>
          <w:color w:val="FF0000"/>
          <w:sz w:val="17"/>
          <w:szCs w:val="17"/>
          <w:lang w:eastAsia="ru-RU"/>
        </w:rPr>
        <w:t>04, 25.04</w:t>
      </w:r>
    </w:p>
    <w:p w:rsidR="004A204F" w:rsidRPr="009B1313" w:rsidRDefault="004A204F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sz w:val="6"/>
          <w:szCs w:val="6"/>
          <w:lang w:eastAsia="ru-RU"/>
        </w:rPr>
      </w:pPr>
    </w:p>
    <w:p w:rsidR="008335E4" w:rsidRPr="008335E4" w:rsidRDefault="007B15C8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тура: </w:t>
      </w:r>
      <w:proofErr w:type="spellStart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. </w:t>
      </w:r>
      <w:r w:rsidR="00C972D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45</w:t>
      </w:r>
      <w:r w:rsidR="009B1313" w:rsidRPr="009B131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 + </w:t>
      </w:r>
      <w:r w:rsidR="00CA659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50</w:t>
      </w:r>
      <w:r w:rsidR="009B1313" w:rsidRPr="009B131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бел. руб. 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(место в 2-</w:t>
      </w:r>
      <w:r w:rsidR="00A178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3-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х мест. номере);</w:t>
      </w:r>
    </w:p>
    <w:p w:rsidR="0023403F" w:rsidRPr="0023403F" w:rsidRDefault="00C972DA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</w:t>
      </w:r>
      <w:r w:rsidR="0023403F"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(оплата по курсу Национального Банка Республики Беларусь на день оплаты + 2%)</w:t>
      </w:r>
    </w:p>
    <w:p w:rsidR="007B15C8" w:rsidRPr="0023403F" w:rsidRDefault="007B15C8" w:rsidP="007B15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815"/>
      </w:tblGrid>
      <w:tr w:rsidR="007B15C8" w:rsidRPr="007B15C8" w:rsidTr="00CA6593">
        <w:tc>
          <w:tcPr>
            <w:tcW w:w="1101" w:type="dxa"/>
            <w:shd w:val="clear" w:color="auto" w:fill="auto"/>
          </w:tcPr>
          <w:p w:rsidR="007B15C8" w:rsidRPr="009B1313" w:rsidRDefault="007B15C8" w:rsidP="007B15C8">
            <w:pPr>
              <w:tabs>
                <w:tab w:val="left" w:pos="2328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9B131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9815" w:type="dxa"/>
            <w:shd w:val="clear" w:color="auto" w:fill="auto"/>
          </w:tcPr>
          <w:p w:rsidR="00CA6593" w:rsidRPr="00CA6593" w:rsidRDefault="00CA6593" w:rsidP="00CA6593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Выезд из Минска в 05:00 (ориентировочно). Транзит по территории РБ и Литвы. Прибытие в Вильнюс. </w:t>
            </w:r>
            <w:proofErr w:type="spellStart"/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Автобусно</w:t>
            </w:r>
            <w:proofErr w:type="spellEnd"/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-пешеходная экскурсия по городу (2 часа): </w:t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Вильнюс – лабиринт средневековых улочек, где уютно соседствуют друг с другом церкви, костёлы и синагоги, а также разные стили архитектуры: от готики, ренессанса, барокко, классицизма до </w:t>
            </w:r>
            <w:proofErr w:type="gram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пост-модернизма</w:t>
            </w:r>
            <w:proofErr w:type="gram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. Вы осмотрите все основные исторические объекты, а также узнаете много нового и интересного о русском наследии Вильнюса. Город был основан в 1323 г. великим Литовским князем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Гедеминасом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. Как и любой другой средневековый город, Вильнюс строился от Ратуши – это самое сердце старого города. Уверены, что костел св. Анны, восхитивший императора Наполеона, не оставит равнодушными и Вас. Переезд в древнюю столицу Литовского княжества - </w:t>
            </w:r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Тракай. 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Тракайский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 регион это — озерный край. Экскурсия по замку на воде. Это единственный замок в Европе, построенный литовскими князьями на острове. Был он крепостью, которую не смогли взять крестоносцы. Замок охраняли караимы, привезенные в Тракай из Крыма князем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Витаутом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. Караимы уже более 600 лет проживают в Тракай, сохраняя культуру и традиции своего маленького народа. Уникальная возможность отведать караимскую кухню в ресторане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Кюбете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». </w:t>
            </w:r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Посещение Замка на </w:t>
            </w:r>
            <w:proofErr w:type="gramStart"/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воде(</w:t>
            </w:r>
            <w:proofErr w:type="gram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за доп. плату 7 евро</w:t>
            </w:r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).</w:t>
            </w:r>
          </w:p>
          <w:p w:rsidR="00CA6593" w:rsidRPr="00CA6593" w:rsidRDefault="00CA6593" w:rsidP="00CA6593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Расселение в выбранном отеле ("</w:t>
            </w:r>
            <w:proofErr w:type="spellStart"/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PANORAMA"или</w:t>
            </w:r>
            <w:proofErr w:type="spellEnd"/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 Курортный </w:t>
            </w:r>
            <w:proofErr w:type="spellStart"/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спа</w:t>
            </w:r>
            <w:proofErr w:type="spellEnd"/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-отель «</w:t>
            </w:r>
            <w:proofErr w:type="spellStart"/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Trasalis</w:t>
            </w:r>
            <w:proofErr w:type="spellEnd"/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- </w:t>
            </w:r>
            <w:proofErr w:type="spellStart"/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Trakai</w:t>
            </w:r>
            <w:proofErr w:type="spellEnd"/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resort</w:t>
            </w:r>
            <w:proofErr w:type="spellEnd"/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&amp; SPA»)</w:t>
            </w:r>
          </w:p>
          <w:p w:rsidR="007B15C8" w:rsidRPr="00CA6593" w:rsidRDefault="00CA6593" w:rsidP="00CA6593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7"/>
                <w:szCs w:val="17"/>
                <w:lang w:eastAsia="ru-RU"/>
              </w:rPr>
            </w:pPr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В Вильнюсе </w:t>
            </w:r>
            <w:proofErr w:type="gram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для  прогулок</w:t>
            </w:r>
            <w:proofErr w:type="gram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 по культурным местам и всего что душе угодно но не запрещено законом! Спускаясь вниз по улице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Пилес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, зайдите в ресторан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Дварас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»: тут подают национальную литовскую кухню и угощают вкуснейшим домашним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квасом.В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 вечернее время на улицы выходят уличные музыканты различных жанров, которые вносят свой вклад в создание уютной атмосферы вечернего Вильнюса. Для тех же кто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остановливается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 в Тракае центр водных развлечений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Трасалис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» предлагает Вам джакузи, водные каскады, извилистый бассейн, в котором создается стремительное течение, водный бар, бани 4типов, водные горки длиной 13, 30 и 70 метров. Если Вы выберете процедуру «Хамам», теплые лежаки, массажи, спокойная атмосфера, приятные ощущения и чай будут к Вашим услугам. Для частных вечеринок или отдыха в Комплексе водных развлечений есть пять VIP бань разного размера и дизайна. Одновременно в центре водных развлечений могут отдыхать до 150, а в VIP банях – до 70 </w:t>
            </w:r>
            <w:proofErr w:type="gram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человек./</w:t>
            </w:r>
            <w:proofErr w:type="gramEnd"/>
          </w:p>
        </w:tc>
      </w:tr>
      <w:tr w:rsidR="007B15C8" w:rsidRPr="007B15C8" w:rsidTr="00CA6593">
        <w:tc>
          <w:tcPr>
            <w:tcW w:w="1101" w:type="dxa"/>
            <w:shd w:val="clear" w:color="auto" w:fill="auto"/>
          </w:tcPr>
          <w:p w:rsidR="007B15C8" w:rsidRPr="009B1313" w:rsidRDefault="007B15C8" w:rsidP="007B15C8">
            <w:pPr>
              <w:tabs>
                <w:tab w:val="left" w:pos="232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9B13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9815" w:type="dxa"/>
            <w:shd w:val="clear" w:color="auto" w:fill="auto"/>
          </w:tcPr>
          <w:p w:rsidR="00CA6593" w:rsidRPr="00CA6593" w:rsidRDefault="00CA6593" w:rsidP="00CA6593">
            <w:pPr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Завтрак в отеле (шведский стол). Освобождение номеров.</w:t>
            </w:r>
          </w:p>
          <w:p w:rsidR="007B15C8" w:rsidRPr="00CA6593" w:rsidRDefault="00CA6593" w:rsidP="006F7585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7"/>
                <w:szCs w:val="17"/>
                <w:lang w:eastAsia="ru-RU"/>
              </w:rPr>
            </w:pPr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09:00-13:00* трансфер в торгово-развлекательный центр </w:t>
            </w:r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«</w:t>
            </w:r>
            <w:proofErr w:type="spellStart"/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Акрополис</w:t>
            </w:r>
            <w:proofErr w:type="spellEnd"/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»</w:t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Акрополис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- это один из самых крупных торгово-развлекательных центров в Вильнюсе. Здесь находятся около 250 магазинов и сервисных центров, среди известных торговых марок представлены магазины таких брендов как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Massimo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Dutti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Next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Bershka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City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Cop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Copine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Camel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active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Esprit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Guess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Lindex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Mango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Mexx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Pierre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Cardin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Pietro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Filipi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Promod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», «S.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Oliver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Stradivarius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United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Colors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of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Benetton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Zara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». Около</w:t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 xml:space="preserve"> 25 </w:t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обувных</w:t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 xml:space="preserve"> </w:t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магазинов</w:t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 xml:space="preserve"> – «Aldo»,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Chesters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», «Crocs»,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Danija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Deichmann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Ecco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», «Este», «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Geox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 xml:space="preserve">», «Salamander», «Step Top» </w:t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и</w:t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 xml:space="preserve"> </w:t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другие</w:t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t>. </w:t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В ТРЦ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Акрополисе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 созданы все условия не только для шопинга , но и для хорошего и интересного отдыха как для взрослых, так и для детей : Ледовый каток, боулинг, бильярд, кинотеатр (3D, 5D) , казино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Olympic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, игровые автоматы, детский центр развлечений и др. (ледовый каток (2,50-3,50 евро/45 мин/ катание с пингвином - 2,00 €/ отдельная гардеробная с </w:t>
            </w:r>
            <w:proofErr w:type="spellStart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душом</w:t>
            </w:r>
            <w:proofErr w:type="spellEnd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 xml:space="preserve"> - 1,50 €/ носки, перчатки - 1,30 - 1,50 €/ заточка коньков - 3,00 €/ консультация инструктора 20 минут - 5,00 €), киноцентр, детская игровая площадка EUROPA (от 3,00 €/час). 13:30-15:00 * переезд в </w:t>
            </w:r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ТЦ IKEA. </w:t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Магазин ИКЕА в Вильнюсе предлагает своим клиентам относительно недорогие, но стильные и современные решения для дома или квартиры, с первого взгляда покоряя своих покупателей невероятным огромным ассортиментом и многообразием мебельной продукции.</w:t>
            </w:r>
            <w:r w:rsidRPr="00CA65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В вильнюсский ИКЕА часто ходят как на выставку самых современных, интересных и многофункциональных дизайнерских решений, и идей. Основная концепция магазина ИКЕА в Вильнюсе состоит в том, что вся продукция магазина представлена покупателям не просто расставленной вдоль стен, как в обычных мебельных магазинах, а в виде готовых интерьеров, причем со всеми дополнительными декоративными мелочами и аксессуарами, превращая поход посетителей по магазину ИКЕА в длительную и увлекательную экскурсию по огромному многоэтажному дому с сотней разных комнат.</w:t>
            </w:r>
            <w:r w:rsidR="006F7585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bookmarkStart w:id="0" w:name="_GoBack"/>
            <w:bookmarkEnd w:id="0"/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t>Как и в любом хорошем магазине, в вильнюсском ИКЕА есть все для того, чтобы посетители остались в нем как можно дольше. Если покупатели проголодались, то на втором этаже магазина их ждет ресторан с превосходной шведской кухней, а на первом – бистро и небольшой продуктовый магазин.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br/>
              <w:t>15:00 отправление в Минск. Транзит по территории Литвы и РБ.</w:t>
            </w:r>
            <w:r w:rsidRPr="00CA6593">
              <w:rPr>
                <w:rFonts w:ascii="Arial" w:hAnsi="Arial" w:cs="Arial"/>
                <w:color w:val="000000"/>
                <w:sz w:val="17"/>
                <w:szCs w:val="17"/>
              </w:rPr>
              <w:br/>
              <w:t>Прибытие в Минск около 21:00*.</w:t>
            </w:r>
          </w:p>
        </w:tc>
      </w:tr>
    </w:tbl>
    <w:p w:rsidR="007B15C8" w:rsidRPr="007B15C8" w:rsidRDefault="007B15C8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111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536"/>
        <w:gridCol w:w="5246"/>
        <w:gridCol w:w="219"/>
      </w:tblGrid>
      <w:tr w:rsidR="007B15C8" w:rsidRPr="007B15C8" w:rsidTr="00CA6593">
        <w:trPr>
          <w:gridAfter w:val="1"/>
          <w:wAfter w:w="219" w:type="dxa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CA6593" w:rsidRDefault="007B15C8" w:rsidP="00252B72">
            <w:pPr>
              <w:tabs>
                <w:tab w:val="left" w:pos="33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CA659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ab/>
            </w:r>
            <w:r w:rsidRPr="00CA6593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В стоимость тура входит:</w:t>
            </w:r>
          </w:p>
          <w:p w:rsidR="00C972DA" w:rsidRPr="00CA6593" w:rsidRDefault="00C972DA" w:rsidP="00252B72">
            <w:pPr>
              <w:tabs>
                <w:tab w:val="left" w:pos="33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</w:p>
          <w:p w:rsidR="00C972DA" w:rsidRPr="00CA6593" w:rsidRDefault="00C972DA" w:rsidP="00C972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A65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проезд автобусом;</w:t>
            </w:r>
          </w:p>
          <w:p w:rsidR="00C972DA" w:rsidRPr="00CA6593" w:rsidRDefault="00C972DA" w:rsidP="00C972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A65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проживание в Вильнюсе в отеле 3*(</w:t>
            </w:r>
            <w:proofErr w:type="spellStart"/>
            <w:r w:rsidRPr="00CA65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Panorama</w:t>
            </w:r>
            <w:proofErr w:type="spellEnd"/>
            <w:r w:rsidRPr="00CA65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);</w:t>
            </w:r>
          </w:p>
          <w:p w:rsidR="00C972DA" w:rsidRPr="00CA6593" w:rsidRDefault="00C972DA" w:rsidP="00C972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A65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завтрак;</w:t>
            </w:r>
          </w:p>
          <w:p w:rsidR="00C972DA" w:rsidRPr="00CA6593" w:rsidRDefault="00C972DA" w:rsidP="00C972D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A65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экскурсия по Вильнюсу,</w:t>
            </w:r>
            <w:r w:rsidR="00472607" w:rsidRPr="00CA65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A659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Тракаю.</w:t>
            </w:r>
          </w:p>
          <w:p w:rsidR="007B15C8" w:rsidRPr="00CA6593" w:rsidRDefault="007B15C8" w:rsidP="00C972DA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CA6593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CA6593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 xml:space="preserve">         Дополнительно оплачивается:</w:t>
            </w:r>
          </w:p>
          <w:p w:rsidR="00C972DA" w:rsidRPr="00CA6593" w:rsidRDefault="00C972DA" w:rsidP="00C972D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CA659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консульский сбор - 80 евро</w:t>
            </w:r>
          </w:p>
          <w:p w:rsidR="00472607" w:rsidRPr="00CA6593" w:rsidRDefault="00C972DA" w:rsidP="00661F8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CA659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медицинская страховка - 2 доллара США. Оплачивается в белорусских рублях по курсу НБРБ на день оплаты. </w:t>
            </w:r>
          </w:p>
          <w:p w:rsidR="00C972DA" w:rsidRPr="00CA6593" w:rsidRDefault="00CA6593" w:rsidP="00661F8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CA659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вход. билет в </w:t>
            </w:r>
            <w:proofErr w:type="spellStart"/>
            <w:r w:rsidRPr="00CA659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Тракайский</w:t>
            </w:r>
            <w:proofErr w:type="spellEnd"/>
            <w:r w:rsidRPr="00CA659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замок- 8 евро </w:t>
            </w:r>
            <w:proofErr w:type="spellStart"/>
            <w:proofErr w:type="gramStart"/>
            <w:r w:rsidRPr="00CA659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взр</w:t>
            </w:r>
            <w:proofErr w:type="spellEnd"/>
            <w:r w:rsidRPr="00CA659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.,</w:t>
            </w:r>
            <w:proofErr w:type="gramEnd"/>
            <w:r w:rsidRPr="00CA659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4 евро дети и пенсионеры</w:t>
            </w:r>
            <w:r w:rsidR="00C972DA" w:rsidRPr="00CA659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.</w:t>
            </w:r>
          </w:p>
          <w:p w:rsidR="00C972DA" w:rsidRDefault="00C972DA" w:rsidP="00C972D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CA659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дегустация караимской кухни (7,50 евро)</w:t>
            </w:r>
          </w:p>
          <w:p w:rsidR="00CA6593" w:rsidRPr="00CA6593" w:rsidRDefault="00CA6593" w:rsidP="00C972D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CA659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с 01.01.2019 -1 евро/чел </w:t>
            </w:r>
            <w:proofErr w:type="spellStart"/>
            <w:r w:rsidRPr="00CA659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городсой</w:t>
            </w:r>
            <w:proofErr w:type="spellEnd"/>
            <w:r w:rsidRPr="00CA659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налог. Дети в том числе.</w:t>
            </w:r>
          </w:p>
          <w:p w:rsidR="007B15C8" w:rsidRPr="00CA6593" w:rsidRDefault="007B15C8" w:rsidP="00C972DA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</w:p>
        </w:tc>
      </w:tr>
      <w:tr w:rsidR="004A204F" w:rsidRPr="004A204F" w:rsidTr="00CA659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134" w:type="dxa"/>
          <w:jc w:val="center"/>
        </w:trPr>
        <w:tc>
          <w:tcPr>
            <w:tcW w:w="100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204F" w:rsidRPr="004A204F" w:rsidRDefault="004A204F" w:rsidP="009B7C13">
            <w:pPr>
              <w:spacing w:after="0" w:line="240" w:lineRule="auto"/>
              <w:ind w:left="-1134" w:right="-56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C972DA" w:rsidRPr="00C972DA" w:rsidRDefault="004A204F" w:rsidP="00CA6593">
      <w:pPr>
        <w:spacing w:after="0" w:line="240" w:lineRule="auto"/>
        <w:ind w:left="-1134" w:right="-568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  <w:r w:rsidRPr="004A204F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CA6593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   </w:t>
      </w:r>
    </w:p>
    <w:p w:rsidR="00C972DA" w:rsidRDefault="00C972DA" w:rsidP="00C972DA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  <w:r w:rsidRPr="00C972DA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ВОЗМОЖНОСТЬ ОТКРЫТИЯ МНОГОКРАТНОЙ ВИЗЫ</w:t>
      </w:r>
    </w:p>
    <w:p w:rsidR="00C972DA" w:rsidRDefault="00C972DA" w:rsidP="00252B72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</w:p>
    <w:sectPr w:rsidR="00C972DA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AD8" w:rsidRDefault="009F6AD8" w:rsidP="00377528">
      <w:pPr>
        <w:spacing w:after="0" w:line="240" w:lineRule="auto"/>
      </w:pPr>
      <w:r>
        <w:separator/>
      </w:r>
    </w:p>
  </w:endnote>
  <w:endnote w:type="continuationSeparator" w:id="0">
    <w:p w:rsidR="009F6AD8" w:rsidRDefault="009F6AD8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CA6593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>
      <w:rPr>
        <w:b/>
        <w:color w:val="215868" w:themeColor="accent5" w:themeShade="80"/>
        <w:sz w:val="16"/>
        <w:szCs w:val="16"/>
      </w:rPr>
      <w:t>Общество с ограниченной ответственностью</w:t>
    </w:r>
    <w:r w:rsidR="00470E91" w:rsidRPr="00F964EB">
      <w:rPr>
        <w:b/>
        <w:color w:val="215868" w:themeColor="accent5" w:themeShade="80"/>
        <w:sz w:val="16"/>
        <w:szCs w:val="16"/>
      </w:rPr>
      <w:t xml:space="preserve">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CA6593">
      <w:rPr>
        <w:color w:val="215868" w:themeColor="accent5" w:themeShade="80"/>
        <w:sz w:val="16"/>
        <w:szCs w:val="16"/>
      </w:rPr>
      <w:t>8, пом. 2Н, каб.2-8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CA6593">
      <w:rPr>
        <w:color w:val="215868" w:themeColor="accent5" w:themeShade="80"/>
        <w:sz w:val="16"/>
        <w:szCs w:val="16"/>
      </w:rPr>
      <w:t>1</w:t>
    </w:r>
    <w:r w:rsidR="00470E91" w:rsidRPr="00F964EB">
      <w:rPr>
        <w:color w:val="215868" w:themeColor="accent5" w:themeShade="80"/>
        <w:sz w:val="16"/>
        <w:szCs w:val="16"/>
      </w:rPr>
      <w:t>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CA6593">
      <w:rPr>
        <w:color w:val="215868" w:themeColor="accent5" w:themeShade="80"/>
        <w:sz w:val="16"/>
        <w:szCs w:val="16"/>
        <w:lang w:val="en-US"/>
      </w:rPr>
      <w:t>ALFA</w:t>
    </w:r>
    <w:r w:rsidR="00CA6593" w:rsidRPr="00CA6593">
      <w:rPr>
        <w:color w:val="215868" w:themeColor="accent5" w:themeShade="80"/>
        <w:sz w:val="16"/>
        <w:szCs w:val="16"/>
      </w:rPr>
      <w:t xml:space="preserve"> 3012 2379 3700 1027 0000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CA6593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CA6593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CA6593">
      <w:rPr>
        <w:color w:val="215868" w:themeColor="accent5" w:themeShade="80"/>
        <w:sz w:val="16"/>
        <w:szCs w:val="16"/>
        <w:lang w:val="en-US"/>
      </w:rPr>
      <w:t>ALFA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CA6593">
      <w:rPr>
        <w:color w:val="215868" w:themeColor="accent5" w:themeShade="80"/>
        <w:sz w:val="16"/>
        <w:szCs w:val="16"/>
      </w:rPr>
      <w:t>Сурганова, 43-47</w:t>
    </w:r>
    <w:r w:rsidR="00EA425C" w:rsidRPr="00F964EB">
      <w:rPr>
        <w:color w:val="215868" w:themeColor="accent5" w:themeShade="80"/>
        <w:sz w:val="16"/>
        <w:szCs w:val="16"/>
      </w:rPr>
      <w:t xml:space="preserve">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AD8" w:rsidRDefault="009F6AD8" w:rsidP="00377528">
      <w:pPr>
        <w:spacing w:after="0" w:line="240" w:lineRule="auto"/>
      </w:pPr>
      <w:r>
        <w:separator/>
      </w:r>
    </w:p>
  </w:footnote>
  <w:footnote w:type="continuationSeparator" w:id="0">
    <w:p w:rsidR="009F6AD8" w:rsidRDefault="009F6AD8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CA6593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  <w:sz w:val="24"/>
      </w:rPr>
      <w:t>Общество с ограниченной ответственностью</w:t>
    </w:r>
    <w:r w:rsidR="00470E91"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588053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7F9B"/>
    <w:rsid w:val="000213B0"/>
    <w:rsid w:val="000360AA"/>
    <w:rsid w:val="000401F6"/>
    <w:rsid w:val="0004669C"/>
    <w:rsid w:val="000505A4"/>
    <w:rsid w:val="0007349D"/>
    <w:rsid w:val="00077F8C"/>
    <w:rsid w:val="000E7363"/>
    <w:rsid w:val="00101879"/>
    <w:rsid w:val="00103519"/>
    <w:rsid w:val="001175FD"/>
    <w:rsid w:val="001407C6"/>
    <w:rsid w:val="001524E2"/>
    <w:rsid w:val="00167690"/>
    <w:rsid w:val="001B4DF1"/>
    <w:rsid w:val="001D22B5"/>
    <w:rsid w:val="00226B98"/>
    <w:rsid w:val="0023403F"/>
    <w:rsid w:val="00252B72"/>
    <w:rsid w:val="00255223"/>
    <w:rsid w:val="0026203B"/>
    <w:rsid w:val="002938E9"/>
    <w:rsid w:val="002B7B0E"/>
    <w:rsid w:val="002F2E07"/>
    <w:rsid w:val="00307B53"/>
    <w:rsid w:val="00324261"/>
    <w:rsid w:val="003448E3"/>
    <w:rsid w:val="0034692F"/>
    <w:rsid w:val="00377528"/>
    <w:rsid w:val="003C162A"/>
    <w:rsid w:val="00402AD0"/>
    <w:rsid w:val="004157A4"/>
    <w:rsid w:val="0042427C"/>
    <w:rsid w:val="00447A70"/>
    <w:rsid w:val="00470E91"/>
    <w:rsid w:val="00472607"/>
    <w:rsid w:val="004810AE"/>
    <w:rsid w:val="004A204F"/>
    <w:rsid w:val="004A7B63"/>
    <w:rsid w:val="004D01AB"/>
    <w:rsid w:val="004F14AF"/>
    <w:rsid w:val="005745CF"/>
    <w:rsid w:val="005815BD"/>
    <w:rsid w:val="005A4D76"/>
    <w:rsid w:val="00610C55"/>
    <w:rsid w:val="00636F12"/>
    <w:rsid w:val="00647055"/>
    <w:rsid w:val="0066062D"/>
    <w:rsid w:val="00667773"/>
    <w:rsid w:val="006B0EBF"/>
    <w:rsid w:val="006E6926"/>
    <w:rsid w:val="006F7585"/>
    <w:rsid w:val="00707784"/>
    <w:rsid w:val="007472C5"/>
    <w:rsid w:val="007734B7"/>
    <w:rsid w:val="007746C0"/>
    <w:rsid w:val="007A3B85"/>
    <w:rsid w:val="007A6523"/>
    <w:rsid w:val="007B15C8"/>
    <w:rsid w:val="007F06FE"/>
    <w:rsid w:val="008060C1"/>
    <w:rsid w:val="008170B6"/>
    <w:rsid w:val="00825A19"/>
    <w:rsid w:val="008335E4"/>
    <w:rsid w:val="008336F5"/>
    <w:rsid w:val="008360E0"/>
    <w:rsid w:val="00843271"/>
    <w:rsid w:val="008D7A11"/>
    <w:rsid w:val="008E3148"/>
    <w:rsid w:val="008F4C60"/>
    <w:rsid w:val="009007A1"/>
    <w:rsid w:val="009B1313"/>
    <w:rsid w:val="009B7A4E"/>
    <w:rsid w:val="009B7C13"/>
    <w:rsid w:val="009F6469"/>
    <w:rsid w:val="009F6AD8"/>
    <w:rsid w:val="00A05092"/>
    <w:rsid w:val="00A178E4"/>
    <w:rsid w:val="00A34C49"/>
    <w:rsid w:val="00A53A1E"/>
    <w:rsid w:val="00A564E0"/>
    <w:rsid w:val="00A723CC"/>
    <w:rsid w:val="00A730E4"/>
    <w:rsid w:val="00AB5DEF"/>
    <w:rsid w:val="00AC1EAF"/>
    <w:rsid w:val="00AC66EF"/>
    <w:rsid w:val="00AE077B"/>
    <w:rsid w:val="00AF39AC"/>
    <w:rsid w:val="00B04981"/>
    <w:rsid w:val="00B44DB2"/>
    <w:rsid w:val="00BF37C3"/>
    <w:rsid w:val="00BF42E6"/>
    <w:rsid w:val="00C00A51"/>
    <w:rsid w:val="00C01823"/>
    <w:rsid w:val="00C17CAA"/>
    <w:rsid w:val="00C42D8A"/>
    <w:rsid w:val="00C6300E"/>
    <w:rsid w:val="00C92D77"/>
    <w:rsid w:val="00C972DA"/>
    <w:rsid w:val="00CA6593"/>
    <w:rsid w:val="00CD4324"/>
    <w:rsid w:val="00CF455E"/>
    <w:rsid w:val="00D050A9"/>
    <w:rsid w:val="00D43201"/>
    <w:rsid w:val="00D57388"/>
    <w:rsid w:val="00D60CAC"/>
    <w:rsid w:val="00D854A7"/>
    <w:rsid w:val="00D953EF"/>
    <w:rsid w:val="00DB5137"/>
    <w:rsid w:val="00DC3900"/>
    <w:rsid w:val="00DE2713"/>
    <w:rsid w:val="00EA26E0"/>
    <w:rsid w:val="00EA425C"/>
    <w:rsid w:val="00F027B0"/>
    <w:rsid w:val="00F102A9"/>
    <w:rsid w:val="00F346CE"/>
    <w:rsid w:val="00F35F1A"/>
    <w:rsid w:val="00F654B2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032B7-AC33-49D3-B0C6-75EC98AE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6517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0006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6F7F-C7F8-4B88-891A-F8277D11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2019-12-24T09:01:00Z</cp:lastPrinted>
  <dcterms:created xsi:type="dcterms:W3CDTF">2015-10-13T15:45:00Z</dcterms:created>
  <dcterms:modified xsi:type="dcterms:W3CDTF">2019-12-24T09:07:00Z</dcterms:modified>
</cp:coreProperties>
</file>